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4F6" w14:textId="5711A65A" w:rsidR="00897EE3" w:rsidRPr="00EC4B64" w:rsidRDefault="009F724A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1AF12CAB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44">
        <w:rPr>
          <w:rFonts w:ascii="HG丸ｺﾞｼｯｸM-PRO" w:eastAsia="HG丸ｺﾞｼｯｸM-PRO" w:hint="eastAsia"/>
          <w:b/>
          <w:bCs/>
          <w:kern w:val="0"/>
          <w:sz w:val="40"/>
        </w:rPr>
        <w:t>９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3B6C7A">
        <w:rPr>
          <w:rFonts w:ascii="HG丸ｺﾞｼｯｸM-PRO" w:eastAsia="HG丸ｺﾞｼｯｸM-PRO" w:hint="eastAsia"/>
          <w:b/>
          <w:bCs/>
          <w:kern w:val="0"/>
          <w:sz w:val="40"/>
        </w:rPr>
        <w:t>2</w:t>
      </w:r>
      <w:r w:rsidR="003B6C7A">
        <w:rPr>
          <w:rFonts w:ascii="HG丸ｺﾞｼｯｸM-PRO" w:eastAsia="HG丸ｺﾞｼｯｸM-PRO"/>
          <w:b/>
          <w:bCs/>
          <w:kern w:val="0"/>
          <w:sz w:val="40"/>
        </w:rPr>
        <w:t>9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3E778298" w14:textId="77777777" w:rsidTr="001B7240">
        <w:trPr>
          <w:trHeight w:val="8612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64128222" w14:textId="520AEA8D" w:rsidR="00257E19" w:rsidRDefault="009F724A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119B396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139700</wp:posOffset>
                      </wp:positionV>
                      <wp:extent cx="5781675" cy="412750"/>
                      <wp:effectExtent l="19050" t="19050" r="9525" b="635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DF9D2" w14:textId="4026FECC" w:rsidR="00D45283" w:rsidRPr="0022566C" w:rsidRDefault="00AB6D80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地域計画の</w:t>
                                  </w:r>
                                  <w:r w:rsidR="00ED6784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達成に向けた</w:t>
                                  </w:r>
                                  <w:r w:rsidR="00103817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運用見直しを反映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pt;width:455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" strokeweight="3pt">
                      <v:stroke linestyle="thinThin"/>
                      <v:textbox inset="5.85pt,.7pt,5.85pt,.7pt">
                        <w:txbxContent>
                          <w:p w14:paraId="447DF9D2" w14:textId="4026FECC" w:rsidR="00D45283" w:rsidRPr="0022566C" w:rsidRDefault="00AB6D80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地域計画の</w:t>
                            </w:r>
                            <w:r w:rsidR="00ED6784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達成に向けた</w:t>
                            </w:r>
                            <w:r w:rsidR="00103817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運用見直しを反映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73A6E" w14:textId="77777777" w:rsidR="005469B3" w:rsidRDefault="005469B3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7294CE6" w14:textId="77777777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6780392" w14:textId="7697D677" w:rsidR="005712DA" w:rsidRPr="004A09ED" w:rsidRDefault="00562088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56"/>
                <w:szCs w:val="56"/>
              </w:rPr>
            </w:pPr>
            <w:r>
              <w:rPr>
                <w:rFonts w:ascii="HGSｺﾞｼｯｸE" w:eastAsia="HGSｺﾞｼｯｸE" w:hAnsi="HGSｺﾞｼｯｸE" w:hint="eastAsia"/>
                <w:sz w:val="56"/>
                <w:szCs w:val="56"/>
              </w:rPr>
              <w:t>活用しよう</w:t>
            </w:r>
            <w:r w:rsidRPr="00EE071E">
              <w:rPr>
                <w:rFonts w:ascii="HGSｺﾞｼｯｸE" w:eastAsia="HGSｺﾞｼｯｸE" w:hAnsi="HGSｺﾞｼｯｸE" w:hint="eastAsia"/>
                <w:sz w:val="52"/>
                <w:szCs w:val="52"/>
              </w:rPr>
              <w:t>！</w:t>
            </w:r>
            <w:r w:rsidR="00E60DBD">
              <w:rPr>
                <w:rFonts w:ascii="HGSｺﾞｼｯｸE" w:eastAsia="HGSｺﾞｼｯｸE" w:hAnsi="HGSｺﾞｼｯｸE" w:hint="eastAsia"/>
                <w:sz w:val="56"/>
                <w:szCs w:val="56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  <w:sz w:val="56"/>
                <w:szCs w:val="56"/>
              </w:rPr>
              <w:t>農地中間管理事業</w:t>
            </w:r>
          </w:p>
          <w:p w14:paraId="252DE716" w14:textId="12B35AF6" w:rsidR="00207206" w:rsidRPr="003B6C7A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R0</w:t>
            </w:r>
            <w:r w:rsidR="001A68AC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</w:t>
            </w:r>
            <w:r w:rsidR="00E36C27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-</w:t>
            </w:r>
            <w:r w:rsidR="00955445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32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223745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Ａ４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判・</w:t>
            </w:r>
            <w:r w:rsidR="00955445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８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頁　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定価</w:t>
            </w:r>
            <w:r w:rsidR="00B3642E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9</w:t>
            </w:r>
            <w:r w:rsidR="00B3642E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9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円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（税</w:t>
            </w:r>
            <w:r w:rsidR="001A37E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込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）</w:t>
            </w:r>
            <w:r w:rsidR="00841D4D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送料別</w:t>
            </w:r>
            <w:r w:rsidR="003C2CD6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14:paraId="6D06F1CF" w14:textId="72010B6B" w:rsidR="00897EE3" w:rsidRDefault="001B7240" w:rsidP="00E67F1E">
            <w:r>
              <w:rPr>
                <w:rFonts w:ascii="HG丸ｺﾞｼｯｸM-PRO" w:eastAsia="HG丸ｺﾞｼｯｸM-PRO" w:hint="eastAsia"/>
                <w:b/>
                <w:bCs/>
                <w:noProof/>
                <w:kern w:val="0"/>
                <w:sz w:val="40"/>
              </w:rPr>
              <w:drawing>
                <wp:anchor distT="0" distB="0" distL="114300" distR="114300" simplePos="0" relativeHeight="251659264" behindDoc="0" locked="0" layoutInCell="1" allowOverlap="1" wp14:anchorId="4CCBCAD9" wp14:editId="489DE27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158750</wp:posOffset>
                  </wp:positionV>
                  <wp:extent cx="2714625" cy="3821430"/>
                  <wp:effectExtent l="19050" t="19050" r="28575" b="26670"/>
                  <wp:wrapSquare wrapText="bothSides"/>
                  <wp:docPr id="8930495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214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27B4192D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139700</wp:posOffset>
                      </wp:positionV>
                      <wp:extent cx="2990850" cy="3838575"/>
                      <wp:effectExtent l="0" t="0" r="19050" b="28575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383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0A143" w14:textId="120D19BD" w:rsidR="00597385" w:rsidRPr="003B6C7A" w:rsidRDefault="00396640" w:rsidP="00C64951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農地中間管理事業の</w:t>
                                  </w:r>
                                  <w:r w:rsidR="004C5655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概要やメリット等を説明したパンフレット。</w:t>
                                  </w:r>
                                </w:p>
                                <w:p w14:paraId="06E00DD3" w14:textId="498AEE1B" w:rsidR="00396640" w:rsidRPr="003B6C7A" w:rsidRDefault="00585E2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161C7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地域計画の</w:t>
                                  </w:r>
                                  <w:r w:rsidR="00D703DF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区域において</w:t>
                                  </w:r>
                                  <w:r w:rsidR="000954B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D703DF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農地バンクが重点的に事業を実施するようになる等、</w:t>
                                  </w:r>
                                  <w:r w:rsidR="0096333A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大きく見直された</w:t>
                                  </w:r>
                                  <w:r w:rsidR="00D703DF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農地バンク</w:t>
                                  </w:r>
                                  <w:r w:rsidR="002161C7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の運用</w:t>
                                  </w:r>
                                  <w:r w:rsidR="0096333A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についてわかりやすく紹介しています。</w:t>
                                  </w:r>
                                </w:p>
                                <w:p w14:paraId="0247B371" w14:textId="1F42E72A" w:rsidR="002D1E52" w:rsidRPr="003B6C7A" w:rsidRDefault="002D1E52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農地中間管理事業</w:t>
                                  </w:r>
                                  <w:r w:rsidR="0007121D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に関する支援についても触れています。</w:t>
                                  </w:r>
                                </w:p>
                                <w:p w14:paraId="1105E0B9" w14:textId="77777777" w:rsidR="00396640" w:rsidRPr="003B6C7A" w:rsidRDefault="00396640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4FBB1AEE" w14:textId="77777777" w:rsidR="00441AB7" w:rsidRPr="003B6C7A" w:rsidRDefault="00441AB7" w:rsidP="00621632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― 内　容 ―</w:t>
                                  </w:r>
                                </w:p>
                                <w:p w14:paraId="54803614" w14:textId="471C6C1B" w:rsidR="00441AB7" w:rsidRPr="003B6C7A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F37F07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農地中間管理事業とは</w:t>
                                  </w:r>
                                </w:p>
                                <w:p w14:paraId="55A78843" w14:textId="1B0EA248" w:rsidR="00441AB7" w:rsidRPr="003B6C7A" w:rsidRDefault="00441AB7" w:rsidP="00F37F07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F37F07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地域計画の達成</w:t>
                                  </w:r>
                                  <w:r w:rsidR="005A4A2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へ　</w:t>
                                  </w:r>
                                  <w:r w:rsidR="00F37F07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農地中間管理事業を活用しましょう</w:t>
                                  </w:r>
                                </w:p>
                                <w:p w14:paraId="17235ADE" w14:textId="54B12BB4" w:rsidR="00441AB7" w:rsidRPr="003B6C7A" w:rsidRDefault="00441AB7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○</w:t>
                                  </w:r>
                                  <w:r w:rsidR="00334AD9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5A4A2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農地バンク</w:t>
                                  </w:r>
                                  <w:r w:rsidR="00334AD9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の運用が大きく見直されました</w:t>
                                  </w:r>
                                </w:p>
                                <w:p w14:paraId="3E6AA98A" w14:textId="0175BC3D" w:rsidR="00334AD9" w:rsidRPr="003B6C7A" w:rsidRDefault="00334AD9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932605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地域計画を策定する地域での</w:t>
                                  </w: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</w:t>
                                  </w:r>
                                  <w:r w:rsidR="00932605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バンク</w:t>
                                  </w: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を通じた農地の貸し借りの流れ</w:t>
                                  </w:r>
                                </w:p>
                                <w:p w14:paraId="28AC25A3" w14:textId="24D2535B" w:rsidR="00A663C0" w:rsidRPr="003B6C7A" w:rsidRDefault="00A663C0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○　機構集積協力金</w:t>
                                  </w:r>
                                </w:p>
                                <w:p w14:paraId="234AD35C" w14:textId="36C4FF5F" w:rsidR="006C135D" w:rsidRPr="003B6C7A" w:rsidRDefault="006C135D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866A8E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遊休農地解消緊急対策事業</w:t>
                                  </w:r>
                                </w:p>
                                <w:p w14:paraId="295E57CD" w14:textId="326E2A90" w:rsidR="00866A8E" w:rsidRPr="003B6C7A" w:rsidRDefault="00866A8E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2F3DC4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農地中間管理機構関連農地整備事業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Rectangle 25" o:spid="_x0000_s1027" style="position:absolute;left:0;text-align:left;margin-left:224.65pt;margin-top:11pt;width:235.5pt;height:3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">
                      <v:textbox inset="5.85pt,2.05mm,5.85pt,2.05mm">
                        <w:txbxContent>
                          <w:p w14:paraId="3250A143" w14:textId="120D19BD" w:rsidR="00597385" w:rsidRPr="003B6C7A" w:rsidRDefault="00396640" w:rsidP="00C64951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農地中間管理事業の</w:t>
                            </w:r>
                            <w:r w:rsidR="004C5655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概要やメリット等を説明したパンフレット。</w:t>
                            </w:r>
                          </w:p>
                          <w:p w14:paraId="06E00DD3" w14:textId="498AEE1B" w:rsidR="00396640" w:rsidRPr="003B6C7A" w:rsidRDefault="00585E2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2161C7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地域計画の</w:t>
                            </w:r>
                            <w:r w:rsidR="00D703DF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区域において</w:t>
                            </w:r>
                            <w:r w:rsidR="000954B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</w:t>
                            </w:r>
                            <w:r w:rsidR="00D703DF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農地バンクが重点的に事業を実施するようになる等、</w:t>
                            </w:r>
                            <w:r w:rsidR="0096333A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大きく見直された</w:t>
                            </w:r>
                            <w:r w:rsidR="00D703DF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農地バンク</w:t>
                            </w:r>
                            <w:r w:rsidR="002161C7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の運用</w:t>
                            </w:r>
                            <w:r w:rsidR="0096333A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についてわかりやすく紹介しています。</w:t>
                            </w:r>
                          </w:p>
                          <w:p w14:paraId="0247B371" w14:textId="1F42E72A" w:rsidR="002D1E52" w:rsidRPr="003B6C7A" w:rsidRDefault="002D1E52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農地中間管理事業</w:t>
                            </w:r>
                            <w:r w:rsidR="0007121D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に関する支援についても触れています。</w:t>
                            </w:r>
                          </w:p>
                          <w:p w14:paraId="1105E0B9" w14:textId="77777777" w:rsidR="00396640" w:rsidRPr="003B6C7A" w:rsidRDefault="00396640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4FBB1AEE" w14:textId="77777777" w:rsidR="00441AB7" w:rsidRPr="003B6C7A" w:rsidRDefault="00441AB7" w:rsidP="00621632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― 内　容 ―</w:t>
                            </w:r>
                          </w:p>
                          <w:p w14:paraId="54803614" w14:textId="471C6C1B" w:rsidR="00441AB7" w:rsidRPr="003B6C7A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F37F07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農地中間管理事業とは</w:t>
                            </w:r>
                          </w:p>
                          <w:p w14:paraId="55A78843" w14:textId="1B0EA248" w:rsidR="00441AB7" w:rsidRPr="003B6C7A" w:rsidRDefault="00441AB7" w:rsidP="00F37F07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F37F07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地域計画の達成</w:t>
                            </w:r>
                            <w:r w:rsidR="005A4A2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へ　</w:t>
                            </w:r>
                            <w:r w:rsidR="00F37F07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農地中間管理事業を活用しましょう</w:t>
                            </w:r>
                          </w:p>
                          <w:p w14:paraId="17235ADE" w14:textId="54B12BB4" w:rsidR="00441AB7" w:rsidRPr="003B6C7A" w:rsidRDefault="00441AB7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○</w:t>
                            </w:r>
                            <w:r w:rsidR="00334AD9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5A4A2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農地バンク</w:t>
                            </w:r>
                            <w:r w:rsidR="00334AD9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の運用が大きく見直されました</w:t>
                            </w:r>
                          </w:p>
                          <w:p w14:paraId="3E6AA98A" w14:textId="0175BC3D" w:rsidR="00334AD9" w:rsidRPr="003B6C7A" w:rsidRDefault="00334AD9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932605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地域計画を策定する地域での</w:t>
                            </w: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</w:t>
                            </w:r>
                            <w:r w:rsidR="00932605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バンク</w:t>
                            </w: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を通じた農地の貸し借りの流れ</w:t>
                            </w:r>
                          </w:p>
                          <w:p w14:paraId="28AC25A3" w14:textId="24D2535B" w:rsidR="00A663C0" w:rsidRPr="003B6C7A" w:rsidRDefault="00A663C0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○　機構集積協力金</w:t>
                            </w:r>
                          </w:p>
                          <w:p w14:paraId="234AD35C" w14:textId="36C4FF5F" w:rsidR="006C135D" w:rsidRPr="003B6C7A" w:rsidRDefault="006C135D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866A8E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遊休農地解消緊急対策事業</w:t>
                            </w:r>
                          </w:p>
                          <w:p w14:paraId="295E57CD" w14:textId="326E2A90" w:rsidR="00866A8E" w:rsidRPr="003B6C7A" w:rsidRDefault="00866A8E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2F3DC4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農地中間管理機構関連農地整備事業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9D9C662" w14:textId="36AEE934" w:rsidR="007A0894" w:rsidRDefault="007A0894" w:rsidP="007A0894">
      <w:pPr>
        <w:spacing w:line="60" w:lineRule="auto"/>
        <w:rPr>
          <w:rFonts w:ascii="ＭＳ ゴシック" w:eastAsia="ＭＳ ゴシック"/>
        </w:rPr>
      </w:pPr>
    </w:p>
    <w:p w14:paraId="029C43D2" w14:textId="096C56F6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101DB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6101DB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4625FC6F" w14:textId="658C47ED" w:rsidR="006101DB" w:rsidRPr="006101DB" w:rsidRDefault="007A0894" w:rsidP="007A0894">
      <w:pPr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6101DB">
        <w:rPr>
          <w:rFonts w:ascii="ＭＳ ゴシック" w:eastAsia="ＭＳ ゴシック" w:hint="eastAsia"/>
          <w:kern w:val="0"/>
          <w:fitText w:val="4830" w:id="-1179879936"/>
          <w:lang w:eastAsia="zh-CN"/>
        </w:rPr>
        <w:t xml:space="preserve">TEL.03-6910-1131　</w:t>
      </w:r>
      <w:hyperlink r:id="rId10" w:history="1">
        <w:r w:rsidR="006101DB" w:rsidRPr="000B7665">
          <w:rPr>
            <w:rStyle w:val="a6"/>
            <w:rFonts w:ascii="ＭＳ ゴシック" w:eastAsia="ＭＳ ゴシック" w:hint="eastAsia"/>
            <w:kern w:val="0"/>
            <w:fitText w:val="4830" w:id="-1179879936"/>
            <w:lang w:eastAsia="zh-CN"/>
          </w:rPr>
          <w:t>https://www.nca.or.jp/tosho/</w:t>
        </w:r>
      </w:hyperlink>
    </w:p>
    <w:p w14:paraId="71D1064F" w14:textId="77777777" w:rsidR="006101DB" w:rsidRPr="006101DB" w:rsidRDefault="006101DB" w:rsidP="007A0894">
      <w:pPr>
        <w:rPr>
          <w:rFonts w:ascii="ＭＳ ゴシック" w:eastAsia="DengXian"/>
          <w:kern w:val="0"/>
          <w:lang w:eastAsia="zh-CN"/>
        </w:rPr>
      </w:pPr>
    </w:p>
    <w:p w14:paraId="3FE274D4" w14:textId="51B04196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485F3C81" w14:textId="77777777" w:rsidTr="00E159CE">
        <w:trPr>
          <w:cantSplit/>
          <w:trHeight w:val="356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68DF4699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8025C1">
              <w:rPr>
                <w:rFonts w:ascii="ＭＳ ゴシック" w:eastAsia="ＭＳ ゴシック" w:hAnsi="ＭＳ ゴシック"/>
                <w:kern w:val="0"/>
                <w:sz w:val="24"/>
              </w:rPr>
              <w:t>32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DDABCB" w14:textId="2102AC96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8025C1">
              <w:rPr>
                <w:rFonts w:ascii="ＭＳ ゴシック" w:eastAsia="ＭＳ ゴシック" w:hAnsi="ＭＳ ゴシック" w:hint="eastAsia"/>
                <w:sz w:val="24"/>
              </w:rPr>
              <w:t>活用しよう！農地中間管理事業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52B98412" w14:textId="77777777" w:rsidTr="00E159CE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8A0FA2E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2AA7DF8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AF62F9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40748FB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77777777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B91CB60" w14:textId="77777777" w:rsidR="00D8222B" w:rsidRPr="007A0894" w:rsidRDefault="00D8222B" w:rsidP="00D8222B">
      <w:pPr>
        <w:spacing w:line="220" w:lineRule="exact"/>
        <w:rPr>
          <w:rFonts w:ascii="ＭＳ ゴシック" w:eastAsia="ＭＳ ゴシック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CACC" w14:textId="77777777" w:rsidR="00222653" w:rsidRDefault="00222653" w:rsidP="0005509D">
      <w:r>
        <w:separator/>
      </w:r>
    </w:p>
  </w:endnote>
  <w:endnote w:type="continuationSeparator" w:id="0">
    <w:p w14:paraId="5A76050C" w14:textId="77777777" w:rsidR="00222653" w:rsidRDefault="00222653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AC93" w14:textId="77777777" w:rsidR="00222653" w:rsidRDefault="00222653" w:rsidP="0005509D">
      <w:r>
        <w:separator/>
      </w:r>
    </w:p>
  </w:footnote>
  <w:footnote w:type="continuationSeparator" w:id="0">
    <w:p w14:paraId="7D39A628" w14:textId="77777777" w:rsidR="00222653" w:rsidRDefault="00222653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15463"/>
    <w:rsid w:val="000172BA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121D"/>
    <w:rsid w:val="00072A90"/>
    <w:rsid w:val="00082CEC"/>
    <w:rsid w:val="00084D35"/>
    <w:rsid w:val="00090AB7"/>
    <w:rsid w:val="00091312"/>
    <w:rsid w:val="000954BB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3817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55AF0"/>
    <w:rsid w:val="00163719"/>
    <w:rsid w:val="0016376C"/>
    <w:rsid w:val="00176488"/>
    <w:rsid w:val="001771C8"/>
    <w:rsid w:val="001833A5"/>
    <w:rsid w:val="00192A56"/>
    <w:rsid w:val="001A14A9"/>
    <w:rsid w:val="001A37EC"/>
    <w:rsid w:val="001A68AC"/>
    <w:rsid w:val="001A7F99"/>
    <w:rsid w:val="001B1F46"/>
    <w:rsid w:val="001B7240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161C7"/>
    <w:rsid w:val="00222653"/>
    <w:rsid w:val="00223745"/>
    <w:rsid w:val="00223B9B"/>
    <w:rsid w:val="0022566C"/>
    <w:rsid w:val="00225C0A"/>
    <w:rsid w:val="00231CAF"/>
    <w:rsid w:val="00233545"/>
    <w:rsid w:val="00233931"/>
    <w:rsid w:val="002350E5"/>
    <w:rsid w:val="0024275B"/>
    <w:rsid w:val="0024400C"/>
    <w:rsid w:val="002506A6"/>
    <w:rsid w:val="00251B35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4D5B"/>
    <w:rsid w:val="002A5CBE"/>
    <w:rsid w:val="002B1C70"/>
    <w:rsid w:val="002B5ECA"/>
    <w:rsid w:val="002C68B9"/>
    <w:rsid w:val="002D1E52"/>
    <w:rsid w:val="002E3091"/>
    <w:rsid w:val="002E4158"/>
    <w:rsid w:val="002E726F"/>
    <w:rsid w:val="002F3DC4"/>
    <w:rsid w:val="00301C1A"/>
    <w:rsid w:val="00302269"/>
    <w:rsid w:val="00303229"/>
    <w:rsid w:val="00303A75"/>
    <w:rsid w:val="00314E8E"/>
    <w:rsid w:val="00315A44"/>
    <w:rsid w:val="00317EA3"/>
    <w:rsid w:val="00326DA6"/>
    <w:rsid w:val="0033000C"/>
    <w:rsid w:val="00334AD9"/>
    <w:rsid w:val="00335C81"/>
    <w:rsid w:val="0034283E"/>
    <w:rsid w:val="00356A78"/>
    <w:rsid w:val="003572FC"/>
    <w:rsid w:val="003601BB"/>
    <w:rsid w:val="003622CB"/>
    <w:rsid w:val="00363848"/>
    <w:rsid w:val="00371A5D"/>
    <w:rsid w:val="0038240E"/>
    <w:rsid w:val="003829FC"/>
    <w:rsid w:val="00385A61"/>
    <w:rsid w:val="003909B8"/>
    <w:rsid w:val="00396640"/>
    <w:rsid w:val="003A634C"/>
    <w:rsid w:val="003B0F03"/>
    <w:rsid w:val="003B1181"/>
    <w:rsid w:val="003B3949"/>
    <w:rsid w:val="003B3B0D"/>
    <w:rsid w:val="003B6C7A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1AB7"/>
    <w:rsid w:val="0044386A"/>
    <w:rsid w:val="00445F0E"/>
    <w:rsid w:val="0045469F"/>
    <w:rsid w:val="00455DEC"/>
    <w:rsid w:val="004608F2"/>
    <w:rsid w:val="00462AF5"/>
    <w:rsid w:val="004712F8"/>
    <w:rsid w:val="00474D4B"/>
    <w:rsid w:val="00474E6C"/>
    <w:rsid w:val="00475DCB"/>
    <w:rsid w:val="00477562"/>
    <w:rsid w:val="0048553B"/>
    <w:rsid w:val="00490CE8"/>
    <w:rsid w:val="00494B9C"/>
    <w:rsid w:val="004968DA"/>
    <w:rsid w:val="0049780B"/>
    <w:rsid w:val="004A09ED"/>
    <w:rsid w:val="004A0ACD"/>
    <w:rsid w:val="004A438C"/>
    <w:rsid w:val="004B435A"/>
    <w:rsid w:val="004B7A6D"/>
    <w:rsid w:val="004C5655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5E1A"/>
    <w:rsid w:val="00507D85"/>
    <w:rsid w:val="00510514"/>
    <w:rsid w:val="0051145A"/>
    <w:rsid w:val="0051155C"/>
    <w:rsid w:val="005176A1"/>
    <w:rsid w:val="00523A82"/>
    <w:rsid w:val="005340C7"/>
    <w:rsid w:val="00536719"/>
    <w:rsid w:val="00540627"/>
    <w:rsid w:val="005437D8"/>
    <w:rsid w:val="0054582A"/>
    <w:rsid w:val="00545A84"/>
    <w:rsid w:val="005469B3"/>
    <w:rsid w:val="0054748C"/>
    <w:rsid w:val="005567F4"/>
    <w:rsid w:val="005617CD"/>
    <w:rsid w:val="00562088"/>
    <w:rsid w:val="005625F2"/>
    <w:rsid w:val="00563C7E"/>
    <w:rsid w:val="00564565"/>
    <w:rsid w:val="00566CC0"/>
    <w:rsid w:val="005712DA"/>
    <w:rsid w:val="00577708"/>
    <w:rsid w:val="00585E27"/>
    <w:rsid w:val="00590AD6"/>
    <w:rsid w:val="005910C0"/>
    <w:rsid w:val="00591846"/>
    <w:rsid w:val="005919F6"/>
    <w:rsid w:val="00592962"/>
    <w:rsid w:val="00597385"/>
    <w:rsid w:val="005A0AB6"/>
    <w:rsid w:val="005A4A2B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37CB"/>
    <w:rsid w:val="00605174"/>
    <w:rsid w:val="006101DB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4104"/>
    <w:rsid w:val="00675B0C"/>
    <w:rsid w:val="006859D6"/>
    <w:rsid w:val="00690E96"/>
    <w:rsid w:val="00692C85"/>
    <w:rsid w:val="006975B1"/>
    <w:rsid w:val="006A0F59"/>
    <w:rsid w:val="006C135D"/>
    <w:rsid w:val="006C17CE"/>
    <w:rsid w:val="006C315A"/>
    <w:rsid w:val="006C405B"/>
    <w:rsid w:val="006C61F7"/>
    <w:rsid w:val="006D2000"/>
    <w:rsid w:val="006D741B"/>
    <w:rsid w:val="006E14CB"/>
    <w:rsid w:val="006E7BDC"/>
    <w:rsid w:val="0070308E"/>
    <w:rsid w:val="00711D40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3914"/>
    <w:rsid w:val="007745FE"/>
    <w:rsid w:val="00774D77"/>
    <w:rsid w:val="00775C4E"/>
    <w:rsid w:val="00776C72"/>
    <w:rsid w:val="00782323"/>
    <w:rsid w:val="00782723"/>
    <w:rsid w:val="00783B5F"/>
    <w:rsid w:val="00787C8A"/>
    <w:rsid w:val="00790B45"/>
    <w:rsid w:val="007918F1"/>
    <w:rsid w:val="007923ED"/>
    <w:rsid w:val="00793AA8"/>
    <w:rsid w:val="007A0894"/>
    <w:rsid w:val="007A299F"/>
    <w:rsid w:val="007B77F0"/>
    <w:rsid w:val="007C12EA"/>
    <w:rsid w:val="007C7A3B"/>
    <w:rsid w:val="007E3783"/>
    <w:rsid w:val="007E5F81"/>
    <w:rsid w:val="007F2664"/>
    <w:rsid w:val="007F69E8"/>
    <w:rsid w:val="00800594"/>
    <w:rsid w:val="00801ACF"/>
    <w:rsid w:val="008025C1"/>
    <w:rsid w:val="00806AA6"/>
    <w:rsid w:val="00807094"/>
    <w:rsid w:val="00807905"/>
    <w:rsid w:val="0081048E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11F"/>
    <w:rsid w:val="00862856"/>
    <w:rsid w:val="00865B81"/>
    <w:rsid w:val="00866A8E"/>
    <w:rsid w:val="008807F4"/>
    <w:rsid w:val="0088332D"/>
    <w:rsid w:val="00886DB1"/>
    <w:rsid w:val="00886DFE"/>
    <w:rsid w:val="00890737"/>
    <w:rsid w:val="008926B5"/>
    <w:rsid w:val="00895A58"/>
    <w:rsid w:val="00897EE3"/>
    <w:rsid w:val="008A2346"/>
    <w:rsid w:val="008A6118"/>
    <w:rsid w:val="008B14E5"/>
    <w:rsid w:val="008B6C34"/>
    <w:rsid w:val="008C06A4"/>
    <w:rsid w:val="008C3AC4"/>
    <w:rsid w:val="008C7424"/>
    <w:rsid w:val="008D2E57"/>
    <w:rsid w:val="008E4F9F"/>
    <w:rsid w:val="008E765E"/>
    <w:rsid w:val="008F2697"/>
    <w:rsid w:val="008F2C9A"/>
    <w:rsid w:val="008F702F"/>
    <w:rsid w:val="00901C18"/>
    <w:rsid w:val="009049EE"/>
    <w:rsid w:val="0091228F"/>
    <w:rsid w:val="009251AC"/>
    <w:rsid w:val="00926223"/>
    <w:rsid w:val="00926958"/>
    <w:rsid w:val="00932605"/>
    <w:rsid w:val="00936E82"/>
    <w:rsid w:val="00941792"/>
    <w:rsid w:val="009423CF"/>
    <w:rsid w:val="00943D9E"/>
    <w:rsid w:val="00951383"/>
    <w:rsid w:val="009537A1"/>
    <w:rsid w:val="00954E98"/>
    <w:rsid w:val="00955445"/>
    <w:rsid w:val="00955537"/>
    <w:rsid w:val="00957194"/>
    <w:rsid w:val="00957424"/>
    <w:rsid w:val="0096333A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4EF1"/>
    <w:rsid w:val="009C749F"/>
    <w:rsid w:val="009D051C"/>
    <w:rsid w:val="009E036B"/>
    <w:rsid w:val="009E37A0"/>
    <w:rsid w:val="009E5F1F"/>
    <w:rsid w:val="009E7C96"/>
    <w:rsid w:val="009F16D6"/>
    <w:rsid w:val="009F2508"/>
    <w:rsid w:val="009F5708"/>
    <w:rsid w:val="009F724A"/>
    <w:rsid w:val="00A02AD7"/>
    <w:rsid w:val="00A0617E"/>
    <w:rsid w:val="00A140C6"/>
    <w:rsid w:val="00A147F3"/>
    <w:rsid w:val="00A1653D"/>
    <w:rsid w:val="00A26556"/>
    <w:rsid w:val="00A35EC6"/>
    <w:rsid w:val="00A40B2C"/>
    <w:rsid w:val="00A4322D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663C0"/>
    <w:rsid w:val="00A762C1"/>
    <w:rsid w:val="00A76F94"/>
    <w:rsid w:val="00A77D65"/>
    <w:rsid w:val="00A8369C"/>
    <w:rsid w:val="00A84F3F"/>
    <w:rsid w:val="00AA4D14"/>
    <w:rsid w:val="00AA4EFA"/>
    <w:rsid w:val="00AA50AE"/>
    <w:rsid w:val="00AB35E2"/>
    <w:rsid w:val="00AB4B6D"/>
    <w:rsid w:val="00AB6D80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549"/>
    <w:rsid w:val="00B33D62"/>
    <w:rsid w:val="00B348DF"/>
    <w:rsid w:val="00B3642E"/>
    <w:rsid w:val="00B36658"/>
    <w:rsid w:val="00B436D0"/>
    <w:rsid w:val="00B47C4E"/>
    <w:rsid w:val="00B52E42"/>
    <w:rsid w:val="00B53265"/>
    <w:rsid w:val="00B57148"/>
    <w:rsid w:val="00B654B3"/>
    <w:rsid w:val="00B656AC"/>
    <w:rsid w:val="00B66C0E"/>
    <w:rsid w:val="00B71A9C"/>
    <w:rsid w:val="00B876AD"/>
    <w:rsid w:val="00B96A07"/>
    <w:rsid w:val="00B97A11"/>
    <w:rsid w:val="00BA21BE"/>
    <w:rsid w:val="00BA3AD7"/>
    <w:rsid w:val="00BA6477"/>
    <w:rsid w:val="00BB1B40"/>
    <w:rsid w:val="00BB4315"/>
    <w:rsid w:val="00BC0E15"/>
    <w:rsid w:val="00BC2AE1"/>
    <w:rsid w:val="00BC3856"/>
    <w:rsid w:val="00BD167C"/>
    <w:rsid w:val="00BE531E"/>
    <w:rsid w:val="00BF060A"/>
    <w:rsid w:val="00BF3486"/>
    <w:rsid w:val="00BF51D1"/>
    <w:rsid w:val="00C06147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61CEA"/>
    <w:rsid w:val="00C62698"/>
    <w:rsid w:val="00C63A51"/>
    <w:rsid w:val="00C64951"/>
    <w:rsid w:val="00C66602"/>
    <w:rsid w:val="00C8056E"/>
    <w:rsid w:val="00C84BD1"/>
    <w:rsid w:val="00C86EBD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55F"/>
    <w:rsid w:val="00D23D1D"/>
    <w:rsid w:val="00D26277"/>
    <w:rsid w:val="00D32718"/>
    <w:rsid w:val="00D32E4E"/>
    <w:rsid w:val="00D34DDD"/>
    <w:rsid w:val="00D36391"/>
    <w:rsid w:val="00D437BE"/>
    <w:rsid w:val="00D43F17"/>
    <w:rsid w:val="00D45283"/>
    <w:rsid w:val="00D57535"/>
    <w:rsid w:val="00D60D57"/>
    <w:rsid w:val="00D636DC"/>
    <w:rsid w:val="00D63B79"/>
    <w:rsid w:val="00D6453D"/>
    <w:rsid w:val="00D703DF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B77E5"/>
    <w:rsid w:val="00DC7AB7"/>
    <w:rsid w:val="00DD19FC"/>
    <w:rsid w:val="00DD1C7F"/>
    <w:rsid w:val="00DD61F8"/>
    <w:rsid w:val="00DD7D07"/>
    <w:rsid w:val="00DE1EFA"/>
    <w:rsid w:val="00DE7094"/>
    <w:rsid w:val="00DF2139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3C44"/>
    <w:rsid w:val="00E159CE"/>
    <w:rsid w:val="00E15B60"/>
    <w:rsid w:val="00E20807"/>
    <w:rsid w:val="00E22D76"/>
    <w:rsid w:val="00E2587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0DBD"/>
    <w:rsid w:val="00E61097"/>
    <w:rsid w:val="00E61E83"/>
    <w:rsid w:val="00E62282"/>
    <w:rsid w:val="00E67F1E"/>
    <w:rsid w:val="00E70006"/>
    <w:rsid w:val="00E70D7B"/>
    <w:rsid w:val="00E711E7"/>
    <w:rsid w:val="00E71785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6784"/>
    <w:rsid w:val="00ED69EF"/>
    <w:rsid w:val="00EE071E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37F07"/>
    <w:rsid w:val="00F558A1"/>
    <w:rsid w:val="00F56F3A"/>
    <w:rsid w:val="00F635B4"/>
    <w:rsid w:val="00F70B4F"/>
    <w:rsid w:val="00F72F27"/>
    <w:rsid w:val="00F73AD8"/>
    <w:rsid w:val="00F82591"/>
    <w:rsid w:val="00F84B7C"/>
    <w:rsid w:val="00F964B6"/>
    <w:rsid w:val="00F9694B"/>
    <w:rsid w:val="00FA57B9"/>
    <w:rsid w:val="00FB4DCB"/>
    <w:rsid w:val="00FB6797"/>
    <w:rsid w:val="00FC0342"/>
    <w:rsid w:val="00FC0FA9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61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2019-10-21T06:48:00Z</cp:lastPrinted>
  <dcterms:created xsi:type="dcterms:W3CDTF">2023-07-20T09:12:00Z</dcterms:created>
  <dcterms:modified xsi:type="dcterms:W3CDTF">2023-09-27T01:54:00Z</dcterms:modified>
</cp:coreProperties>
</file>